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F069" w14:textId="77777777" w:rsidR="00CB7FC6" w:rsidRPr="00CB7FC6" w:rsidRDefault="00CB7FC6" w:rsidP="00CB7FC6">
      <w:pPr>
        <w:jc w:val="both"/>
        <w:rPr>
          <w:rFonts w:ascii="Segoe UI" w:hAnsi="Segoe UI" w:cs="Segoe UI"/>
        </w:rPr>
      </w:pPr>
    </w:p>
    <w:p w14:paraId="0CC6DD5D" w14:textId="039C9B9A" w:rsidR="00CB7FC6" w:rsidRPr="00CB7FC6" w:rsidRDefault="00CB7FC6" w:rsidP="00CB7FC6">
      <w:pPr>
        <w:ind w:firstLine="709"/>
        <w:jc w:val="center"/>
        <w:rPr>
          <w:rFonts w:ascii="Segoe UI" w:hAnsi="Segoe UI" w:cs="Segoe UI"/>
          <w:b/>
          <w:bCs/>
          <w:sz w:val="24"/>
          <w:szCs w:val="24"/>
        </w:rPr>
      </w:pPr>
      <w:r w:rsidRPr="00CB7FC6">
        <w:rPr>
          <w:rFonts w:ascii="Segoe UI" w:hAnsi="Segoe UI" w:cs="Segoe UI"/>
          <w:b/>
          <w:bCs/>
          <w:sz w:val="24"/>
          <w:szCs w:val="24"/>
        </w:rPr>
        <w:t>RESPOSTAS AO PEDIDO DE IMPUGNAÇÃO</w:t>
      </w:r>
    </w:p>
    <w:p w14:paraId="4426FDDE" w14:textId="77777777" w:rsidR="00CB7FC6" w:rsidRPr="00CB7FC6" w:rsidRDefault="00CB7FC6" w:rsidP="00CB7FC6">
      <w:pPr>
        <w:numPr>
          <w:ilvl w:val="0"/>
          <w:numId w:val="3"/>
        </w:numPr>
        <w:tabs>
          <w:tab w:val="left" w:pos="709"/>
        </w:tabs>
        <w:spacing w:after="0" w:line="360" w:lineRule="auto"/>
        <w:ind w:firstLine="709"/>
        <w:jc w:val="both"/>
        <w:rPr>
          <w:rFonts w:ascii="Segoe UI" w:hAnsi="Segoe UI" w:cs="Segoe UI"/>
          <w:b/>
          <w:bCs/>
        </w:rPr>
      </w:pPr>
    </w:p>
    <w:p w14:paraId="26E6199F" w14:textId="77777777" w:rsidR="00CB7FC6" w:rsidRPr="00CB7FC6" w:rsidRDefault="00CB7FC6" w:rsidP="00CB7FC6">
      <w:pPr>
        <w:pStyle w:val="PargrafodaLista"/>
        <w:numPr>
          <w:ilvl w:val="0"/>
          <w:numId w:val="4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  <w:b/>
          <w:bCs/>
          <w:highlight w:val="yellow"/>
        </w:rPr>
      </w:pPr>
      <w:r w:rsidRPr="00CB7FC6">
        <w:rPr>
          <w:rFonts w:ascii="Segoe UI" w:hAnsi="Segoe UI" w:cs="Segoe UI"/>
          <w:b/>
          <w:bCs/>
          <w:highlight w:val="yellow"/>
        </w:rPr>
        <w:t xml:space="preserve">Remover da Qualificação Técnica a exigência de Atestado de instalação de piso </w:t>
      </w:r>
      <w:proofErr w:type="spellStart"/>
      <w:r w:rsidRPr="00CB7FC6">
        <w:rPr>
          <w:rFonts w:ascii="Segoe UI" w:hAnsi="Segoe UI" w:cs="Segoe UI"/>
          <w:b/>
          <w:bCs/>
          <w:highlight w:val="yellow"/>
        </w:rPr>
        <w:t>homo-logado</w:t>
      </w:r>
      <w:proofErr w:type="spellEnd"/>
      <w:r w:rsidRPr="00CB7FC6">
        <w:rPr>
          <w:rFonts w:ascii="Segoe UI" w:hAnsi="Segoe UI" w:cs="Segoe UI"/>
          <w:b/>
          <w:bCs/>
          <w:highlight w:val="yellow"/>
        </w:rPr>
        <w:t xml:space="preserve">, uma vez o que é homologado é o piso e não o serviço de instalação; </w:t>
      </w:r>
    </w:p>
    <w:p w14:paraId="6471B8C9" w14:textId="77777777" w:rsidR="00CB7FC6" w:rsidRPr="00CB7FC6" w:rsidRDefault="00CB7FC6" w:rsidP="00CB7FC6">
      <w:pPr>
        <w:jc w:val="both"/>
        <w:rPr>
          <w:rFonts w:ascii="Segoe UI" w:hAnsi="Segoe UI" w:cs="Segoe UI"/>
          <w:b/>
          <w:bCs/>
        </w:rPr>
      </w:pPr>
    </w:p>
    <w:p w14:paraId="79CAD08E" w14:textId="77777777" w:rsidR="00CB7FC6" w:rsidRPr="00CB7FC6" w:rsidRDefault="00CB7FC6" w:rsidP="00CB7FC6">
      <w:pPr>
        <w:numPr>
          <w:ilvl w:val="0"/>
          <w:numId w:val="2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Exigências de Qualificação Técnica não previstas em lei</w:t>
      </w:r>
    </w:p>
    <w:p w14:paraId="74AFDA1C" w14:textId="77777777" w:rsidR="00CB7FC6" w:rsidRP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</w:rPr>
        <w:t>A empresa argumenta que a exigência de atestado para instalação de "piso homologado" extrapola a legislação vigente, pois a homologação se refere apenas ao material e não ao serviço de instalação.</w:t>
      </w:r>
    </w:p>
    <w:p w14:paraId="194F4E33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</w:p>
    <w:p w14:paraId="1277AEE8" w14:textId="77777777" w:rsidR="00CB7FC6" w:rsidRP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Resposta:</w:t>
      </w:r>
      <w:r w:rsidRPr="00CB7FC6">
        <w:rPr>
          <w:rFonts w:ascii="Segoe UI" w:hAnsi="Segoe UI" w:cs="Segoe UI"/>
        </w:rPr>
        <w:t xml:space="preserve"> Para sanar esta questão foi realizada os ajustes no item “4.1.7 DA QUALIFICAÇÃO TÉCNICA’</w:t>
      </w:r>
    </w:p>
    <w:p w14:paraId="147DAC7C" w14:textId="77777777" w:rsidR="00CB7FC6" w:rsidRPr="00CB7FC6" w:rsidRDefault="00CB7FC6" w:rsidP="00CB7FC6">
      <w:pPr>
        <w:jc w:val="both"/>
        <w:rPr>
          <w:rFonts w:ascii="Segoe UI" w:hAnsi="Segoe UI" w:cs="Segoe UI"/>
        </w:rPr>
      </w:pPr>
    </w:p>
    <w:p w14:paraId="344EDF59" w14:textId="77777777" w:rsidR="00CB7FC6" w:rsidRPr="00CB7FC6" w:rsidRDefault="00CB7FC6" w:rsidP="00CB7FC6">
      <w:pPr>
        <w:pStyle w:val="PargrafodaLista"/>
        <w:numPr>
          <w:ilvl w:val="0"/>
          <w:numId w:val="4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  <w:b/>
          <w:bCs/>
          <w:highlight w:val="yellow"/>
        </w:rPr>
      </w:pPr>
      <w:r w:rsidRPr="00CB7FC6">
        <w:rPr>
          <w:rFonts w:ascii="Segoe UI" w:hAnsi="Segoe UI" w:cs="Segoe UI"/>
          <w:b/>
          <w:bCs/>
          <w:highlight w:val="yellow"/>
        </w:rPr>
        <w:t>Apresentar as devidas justificativas ou remover a indicação de espessura dos pisos vinílico, por possível restrição à competitividade;</w:t>
      </w:r>
    </w:p>
    <w:p w14:paraId="50DB2C0D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</w:p>
    <w:p w14:paraId="0335DCF2" w14:textId="77777777" w:rsidR="00CB7FC6" w:rsidRPr="00CB7FC6" w:rsidRDefault="00CB7FC6" w:rsidP="00CB7FC6">
      <w:pPr>
        <w:numPr>
          <w:ilvl w:val="0"/>
          <w:numId w:val="2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Omissão quanto à justificativa da espessura do piso</w:t>
      </w:r>
    </w:p>
    <w:p w14:paraId="4469EACF" w14:textId="77777777" w:rsidR="00CB7FC6" w:rsidRP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</w:rPr>
        <w:t>Alegar que a definição de uma espessura específica pode restringir a concorrência e direcionar para determinados fornecedores.</w:t>
      </w:r>
    </w:p>
    <w:p w14:paraId="2E61D833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</w:p>
    <w:p w14:paraId="7AAFF491" w14:textId="77777777" w:rsidR="00CB7FC6" w:rsidRP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Resposta:</w:t>
      </w:r>
      <w:r w:rsidRPr="00CB7FC6">
        <w:rPr>
          <w:rFonts w:ascii="Segoe UI" w:hAnsi="Segoe UI" w:cs="Segoe UI"/>
        </w:rPr>
        <w:t xml:space="preserve"> </w:t>
      </w:r>
    </w:p>
    <w:p w14:paraId="4B4648EC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</w:rPr>
        <w:t>(</w:t>
      </w:r>
      <w:bookmarkStart w:id="0" w:name="_Hlk191479440"/>
      <w:r w:rsidRPr="00CB7FC6">
        <w:rPr>
          <w:rFonts w:ascii="Segoe UI" w:hAnsi="Segoe UI" w:cs="Segoe UI"/>
          <w:b/>
          <w:bCs/>
        </w:rPr>
        <w:t>Piso do vôlei/</w:t>
      </w:r>
      <w:proofErr w:type="spellStart"/>
      <w:r w:rsidRPr="00CB7FC6">
        <w:rPr>
          <w:rFonts w:ascii="Segoe UI" w:hAnsi="Segoe UI" w:cs="Segoe UI"/>
          <w:b/>
          <w:bCs/>
        </w:rPr>
        <w:t>goalball</w:t>
      </w:r>
      <w:proofErr w:type="spellEnd"/>
      <w:r w:rsidRPr="00CB7FC6">
        <w:rPr>
          <w:rFonts w:ascii="Segoe UI" w:hAnsi="Segoe UI" w:cs="Segoe UI"/>
          <w:b/>
          <w:bCs/>
        </w:rPr>
        <w:t>:</w:t>
      </w:r>
      <w:r w:rsidRPr="00CB7FC6">
        <w:rPr>
          <w:rFonts w:ascii="Segoe UI" w:hAnsi="Segoe UI" w:cs="Segoe UI"/>
        </w:rPr>
        <w:t xml:space="preserve"> </w:t>
      </w:r>
      <w:bookmarkEnd w:id="0"/>
      <w:r w:rsidRPr="00CB7FC6">
        <w:rPr>
          <w:rFonts w:ascii="Segoe UI" w:hAnsi="Segoe UI" w:cs="Segoe UI"/>
        </w:rPr>
        <w:t>Justificativa inserida no 3.2 do TR</w:t>
      </w:r>
      <w:bookmarkStart w:id="1" w:name="_Hlk191479455"/>
      <w:r w:rsidRPr="00CB7FC6">
        <w:rPr>
          <w:rFonts w:ascii="Segoe UI" w:hAnsi="Segoe UI" w:cs="Segoe UI"/>
        </w:rPr>
        <w:t xml:space="preserve">: ”Descritivo reproduz rigorosamente as especificações do piso vinílico adotado pelo CPB em sua quadra fixa, seguindo o padrão internacional para essa categoria esportiva aprovado pela FIVB, que também atende ao </w:t>
      </w:r>
      <w:proofErr w:type="spellStart"/>
      <w:r w:rsidRPr="00CB7FC6">
        <w:rPr>
          <w:rFonts w:ascii="Segoe UI" w:hAnsi="Segoe UI" w:cs="Segoe UI"/>
        </w:rPr>
        <w:t>Goalball</w:t>
      </w:r>
      <w:proofErr w:type="spellEnd"/>
      <w:r w:rsidRPr="00CB7FC6">
        <w:rPr>
          <w:rFonts w:ascii="Segoe UI" w:hAnsi="Segoe UI" w:cs="Segoe UI"/>
        </w:rPr>
        <w:t xml:space="preserve">.” </w:t>
      </w:r>
    </w:p>
    <w:p w14:paraId="62687573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noProof/>
        </w:rPr>
        <w:drawing>
          <wp:inline distT="0" distB="0" distL="0" distR="0" wp14:anchorId="2C98A2FB" wp14:editId="76B15045">
            <wp:extent cx="3523615" cy="341630"/>
            <wp:effectExtent l="0" t="0" r="635" b="1270"/>
            <wp:docPr id="12393590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5C6EB64F" w14:textId="567504E6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Piso Tênis de mesa:</w:t>
      </w:r>
      <w:r w:rsidRPr="00CB7FC6">
        <w:rPr>
          <w:rFonts w:ascii="Segoe UI" w:hAnsi="Segoe UI" w:cs="Segoe UI"/>
        </w:rPr>
        <w:t xml:space="preserve"> Como será feita troca total do piso, e para manter o nível técnico exigido pela modalidade serão aceitos pisos dentro das espessuras de 4,5mm a 6,2mm</w:t>
      </w:r>
    </w:p>
    <w:p w14:paraId="1E54E65E" w14:textId="77777777" w:rsidR="00CB7FC6" w:rsidRPr="00CB7FC6" w:rsidRDefault="00CB7FC6" w:rsidP="00CB7FC6">
      <w:pPr>
        <w:jc w:val="both"/>
        <w:rPr>
          <w:rFonts w:ascii="Segoe UI" w:hAnsi="Segoe UI" w:cs="Segoe UI"/>
        </w:rPr>
      </w:pPr>
    </w:p>
    <w:p w14:paraId="3A166CAE" w14:textId="77777777" w:rsidR="00CB7FC6" w:rsidRPr="00CB7FC6" w:rsidRDefault="00CB7FC6" w:rsidP="00CB7FC6">
      <w:pPr>
        <w:jc w:val="both"/>
        <w:rPr>
          <w:rFonts w:ascii="Segoe UI" w:hAnsi="Segoe UI" w:cs="Segoe UI"/>
          <w:b/>
          <w:bCs/>
        </w:rPr>
      </w:pPr>
      <w:r w:rsidRPr="00CB7FC6">
        <w:rPr>
          <w:rFonts w:ascii="Segoe UI" w:hAnsi="Segoe UI" w:cs="Segoe UI"/>
          <w:b/>
          <w:bCs/>
          <w:highlight w:val="yellow"/>
        </w:rPr>
        <w:lastRenderedPageBreak/>
        <w:t>c) Considerando o prazo de fornecimento e a ausência do prazo de serviço de instalação, justificar o não parcelamento do objeto;</w:t>
      </w:r>
    </w:p>
    <w:p w14:paraId="09542276" w14:textId="77777777" w:rsidR="00CB7FC6" w:rsidRPr="00CB7FC6" w:rsidRDefault="00CB7FC6" w:rsidP="00CB7FC6">
      <w:pPr>
        <w:jc w:val="both"/>
        <w:rPr>
          <w:rFonts w:ascii="Segoe UI" w:hAnsi="Segoe UI" w:cs="Segoe UI"/>
        </w:rPr>
      </w:pPr>
    </w:p>
    <w:p w14:paraId="7BBAB4C6" w14:textId="77777777" w:rsidR="00CB7FC6" w:rsidRPr="00CB7FC6" w:rsidRDefault="00CB7FC6" w:rsidP="00CB7FC6">
      <w:pPr>
        <w:numPr>
          <w:ilvl w:val="0"/>
          <w:numId w:val="2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Ausência justificativa para não parcelamento do objeto</w:t>
      </w:r>
    </w:p>
    <w:p w14:paraId="44B5FAB4" w14:textId="77777777" w:rsidR="00CB7FC6" w:rsidRP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</w:rPr>
        <w:t>Argumenta-se que o objeto é divisível e, portanto, deveria ser parcelado para ampliar a concorrência.</w:t>
      </w:r>
      <w:r w:rsidRPr="00CB7FC6">
        <w:rPr>
          <w:rFonts w:ascii="Segoe UI" w:hAnsi="Segoe UI" w:cs="Segoe UI"/>
          <w:noProof/>
          <w14:ligatures w14:val="standardContextual"/>
        </w:rPr>
        <w:t xml:space="preserve"> </w:t>
      </w:r>
    </w:p>
    <w:p w14:paraId="145F9F17" w14:textId="2C8F1C89" w:rsidR="00CB7FC6" w:rsidRP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Resposta:</w:t>
      </w:r>
      <w:r w:rsidRPr="00CB7FC6">
        <w:rPr>
          <w:rFonts w:ascii="Segoe UI" w:hAnsi="Segoe UI" w:cs="Segoe UI"/>
        </w:rPr>
        <w:t xml:space="preserve"> Se</w:t>
      </w:r>
      <w:r w:rsidR="00595356">
        <w:rPr>
          <w:rFonts w:ascii="Segoe UI" w:hAnsi="Segoe UI" w:cs="Segoe UI"/>
        </w:rPr>
        <w:t>rá feita a separação dos itens em grupos</w:t>
      </w:r>
      <w:r w:rsidRPr="00CB7FC6">
        <w:rPr>
          <w:rFonts w:ascii="Segoe UI" w:hAnsi="Segoe UI" w:cs="Segoe UI"/>
        </w:rPr>
        <w:t xml:space="preserve">. </w:t>
      </w:r>
    </w:p>
    <w:p w14:paraId="3366E4B6" w14:textId="77777777" w:rsidR="00CB7FC6" w:rsidRPr="00CB7FC6" w:rsidRDefault="00CB7FC6" w:rsidP="00CB7FC6">
      <w:pPr>
        <w:jc w:val="both"/>
        <w:rPr>
          <w:rFonts w:ascii="Segoe UI" w:hAnsi="Segoe UI" w:cs="Segoe UI"/>
        </w:rPr>
      </w:pPr>
    </w:p>
    <w:p w14:paraId="0D60EC2B" w14:textId="77777777" w:rsidR="00CB7FC6" w:rsidRPr="00CB7FC6" w:rsidRDefault="00CB7FC6" w:rsidP="00CB7FC6">
      <w:pPr>
        <w:jc w:val="both"/>
        <w:rPr>
          <w:rFonts w:ascii="Segoe UI" w:hAnsi="Segoe UI" w:cs="Segoe UI"/>
          <w:b/>
          <w:bCs/>
        </w:rPr>
      </w:pPr>
      <w:r w:rsidRPr="00CB7FC6">
        <w:rPr>
          <w:rFonts w:ascii="Segoe UI" w:hAnsi="Segoe UI" w:cs="Segoe UI"/>
          <w:b/>
          <w:bCs/>
          <w:highlight w:val="yellow"/>
        </w:rPr>
        <w:t>d) Considerando Garantia Contratual a ser prestada, impactando no valor do seguro, indicar a vigência em prazo determinado em dias para o serviço de instalação do piso;</w:t>
      </w:r>
    </w:p>
    <w:p w14:paraId="5A50DD20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</w:p>
    <w:p w14:paraId="6B3FF49B" w14:textId="77777777" w:rsidR="00CB7FC6" w:rsidRPr="00CB7FC6" w:rsidRDefault="00CB7FC6" w:rsidP="00CB7FC6">
      <w:pPr>
        <w:numPr>
          <w:ilvl w:val="0"/>
          <w:numId w:val="2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Ausência de prazo de vigilância contratual</w:t>
      </w:r>
    </w:p>
    <w:p w14:paraId="0F97D24D" w14:textId="77777777" w:rsidR="00CB7FC6" w:rsidRP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</w:rPr>
        <w:t>Alega-se que o edital não informa prazo para início da instalação do piso, o que pode gerar insegurança jurídica e impactar na garantia contratual.</w:t>
      </w:r>
    </w:p>
    <w:p w14:paraId="4E6B8E57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</w:p>
    <w:p w14:paraId="0F408C8E" w14:textId="77777777" w:rsidR="00CB7FC6" w:rsidRP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Resposta:</w:t>
      </w:r>
      <w:r w:rsidRPr="00CB7FC6">
        <w:rPr>
          <w:rFonts w:ascii="Segoe UI" w:hAnsi="Segoe UI" w:cs="Segoe UI"/>
        </w:rPr>
        <w:t xml:space="preserve"> Para sanar esta questão foi feita a dilatação e definição do prazo de entrega e instalação da seguinte forma:</w:t>
      </w:r>
    </w:p>
    <w:p w14:paraId="3A5CDB1C" w14:textId="77777777" w:rsidR="00CB7FC6" w:rsidRPr="00CB7FC6" w:rsidRDefault="00CB7FC6" w:rsidP="00CB7FC6">
      <w:pPr>
        <w:jc w:val="both"/>
        <w:rPr>
          <w:rFonts w:ascii="Segoe UI" w:hAnsi="Segoe UI" w:cs="Segoe UI"/>
        </w:rPr>
      </w:pPr>
    </w:p>
    <w:p w14:paraId="174E8B81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</w:rPr>
        <w:t xml:space="preserve">“Os itens descritos no item 3 deste termo, deverão ser entregues e instalados seguindo o cronograma abaixo, no prazo máximo total de até </w:t>
      </w:r>
      <w:r w:rsidRPr="00CB7FC6">
        <w:rPr>
          <w:rFonts w:ascii="Segoe UI" w:hAnsi="Segoe UI" w:cs="Segoe UI"/>
          <w:b/>
          <w:bCs/>
        </w:rPr>
        <w:t>140 (Cento e quarenta)</w:t>
      </w:r>
      <w:r w:rsidRPr="00CB7FC6">
        <w:rPr>
          <w:rFonts w:ascii="Segoe UI" w:hAnsi="Segoe UI" w:cs="Segoe UI"/>
        </w:rPr>
        <w:t xml:space="preserve"> </w:t>
      </w:r>
      <w:r w:rsidRPr="00CB7FC6">
        <w:rPr>
          <w:rFonts w:ascii="Segoe UI" w:hAnsi="Segoe UI" w:cs="Segoe UI"/>
          <w:b/>
          <w:bCs/>
        </w:rPr>
        <w:t>dias corridos</w:t>
      </w:r>
      <w:r w:rsidRPr="00CB7FC6">
        <w:rPr>
          <w:rFonts w:ascii="Segoe UI" w:hAnsi="Segoe UI" w:cs="Segoe UI"/>
        </w:rPr>
        <w:t>, simultaneamente a partir da emissão da Ordem de Compra.</w:t>
      </w:r>
    </w:p>
    <w:p w14:paraId="3B4A8E88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</w:rPr>
        <w:t>1ª Etapa: entrega dos itens do grupo 1 e 2 em sua quantidade total, em até 120 (cento e vinte) dias corridos, a partir da emissão da Ordem de Compra,</w:t>
      </w:r>
    </w:p>
    <w:p w14:paraId="364AD9DD" w14:textId="77777777" w:rsidR="00CB7FC6" w:rsidRPr="00CB7FC6" w:rsidRDefault="00CB7FC6" w:rsidP="00CB7FC6">
      <w:pPr>
        <w:tabs>
          <w:tab w:val="left" w:pos="709"/>
        </w:tabs>
        <w:spacing w:line="360" w:lineRule="auto"/>
        <w:ind w:left="1440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</w:rPr>
        <w:t>2ª Etapa: instalação dos itens do grupo 2, em até 20 (vinte) dias corridos, a partir da entrega do material.”</w:t>
      </w:r>
    </w:p>
    <w:p w14:paraId="7094C0AF" w14:textId="77777777" w:rsidR="00CB7FC6" w:rsidRPr="00CB7FC6" w:rsidRDefault="00CB7FC6" w:rsidP="00CB7FC6">
      <w:pPr>
        <w:ind w:firstLine="709"/>
        <w:jc w:val="both"/>
        <w:rPr>
          <w:rFonts w:ascii="Segoe UI" w:hAnsi="Segoe UI" w:cs="Segoe UI"/>
        </w:rPr>
      </w:pPr>
    </w:p>
    <w:p w14:paraId="15B0EBC5" w14:textId="77777777" w:rsidR="00CB7FC6" w:rsidRPr="00CB7FC6" w:rsidRDefault="00CB7FC6" w:rsidP="00CB7FC6">
      <w:pPr>
        <w:jc w:val="both"/>
        <w:rPr>
          <w:rFonts w:ascii="Segoe UI" w:hAnsi="Segoe UI" w:cs="Segoe UI"/>
        </w:rPr>
      </w:pPr>
    </w:p>
    <w:p w14:paraId="3F519126" w14:textId="77777777" w:rsidR="00CB7FC6" w:rsidRPr="00CB7FC6" w:rsidRDefault="00CB7FC6" w:rsidP="00CB7FC6">
      <w:pPr>
        <w:pStyle w:val="PargrafodaLista"/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  <w:b/>
          <w:bCs/>
          <w:highlight w:val="yellow"/>
        </w:rPr>
      </w:pPr>
      <w:r w:rsidRPr="00CB7FC6">
        <w:rPr>
          <w:rFonts w:ascii="Segoe UI" w:hAnsi="Segoe UI" w:cs="Segoe UI"/>
          <w:b/>
          <w:bCs/>
          <w:highlight w:val="yellow"/>
        </w:rPr>
        <w:t>Considerando as intercorrências que podem surgir durante o dilatado prazo contratual de 120 (cento e vinte) dias, apresentar na minuta do contrato a Matriz de Riscos.</w:t>
      </w:r>
    </w:p>
    <w:p w14:paraId="373A3B91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</w:p>
    <w:p w14:paraId="500BFE92" w14:textId="77777777" w:rsidR="00CB7FC6" w:rsidRPr="00CB7FC6" w:rsidRDefault="00CB7FC6" w:rsidP="00CB7FC6">
      <w:pPr>
        <w:numPr>
          <w:ilvl w:val="0"/>
          <w:numId w:val="2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lastRenderedPageBreak/>
        <w:t>Ausência de justificativa para a não elaboração do Mapa de Riscos</w:t>
      </w:r>
    </w:p>
    <w:p w14:paraId="7731F928" w14:textId="77777777" w:rsidR="00CB7FC6" w:rsidRP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</w:rPr>
        <w:t>Argumenta-se que a complexidade do contrato exige um Mapa de Riscos para mitigar eventuais problemas.</w:t>
      </w:r>
    </w:p>
    <w:p w14:paraId="533076BB" w14:textId="77777777" w:rsidR="00CB7FC6" w:rsidRPr="00CB7FC6" w:rsidRDefault="00CB7FC6" w:rsidP="00CB7FC6">
      <w:pPr>
        <w:ind w:left="1440"/>
        <w:jc w:val="both"/>
        <w:rPr>
          <w:rFonts w:ascii="Segoe UI" w:hAnsi="Segoe UI" w:cs="Segoe UI"/>
        </w:rPr>
      </w:pPr>
    </w:p>
    <w:p w14:paraId="0547BFE0" w14:textId="77777777" w:rsidR="00CB7FC6" w:rsidRDefault="00CB7FC6" w:rsidP="00CB7FC6">
      <w:pPr>
        <w:numPr>
          <w:ilvl w:val="1"/>
          <w:numId w:val="2"/>
        </w:num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  <w:r w:rsidRPr="00CB7FC6">
        <w:rPr>
          <w:rFonts w:ascii="Segoe UI" w:hAnsi="Segoe UI" w:cs="Segoe UI"/>
          <w:b/>
          <w:bCs/>
        </w:rPr>
        <w:t>Resposta:</w:t>
      </w:r>
      <w:r w:rsidRPr="00CB7FC6">
        <w:rPr>
          <w:rFonts w:ascii="Segoe UI" w:hAnsi="Segoe UI" w:cs="Segoe UI"/>
        </w:rPr>
        <w:t xml:space="preserve"> Questão sanada a parti da definição dos prazos de entrega e instalação dos pisos. </w:t>
      </w:r>
    </w:p>
    <w:p w14:paraId="063A0B27" w14:textId="77777777" w:rsidR="00CB7FC6" w:rsidRDefault="00CB7FC6" w:rsidP="00CB7FC6">
      <w:pPr>
        <w:pStyle w:val="PargrafodaLista"/>
        <w:rPr>
          <w:rFonts w:ascii="Segoe UI" w:hAnsi="Segoe UI" w:cs="Segoe UI"/>
        </w:rPr>
      </w:pPr>
    </w:p>
    <w:p w14:paraId="3FD91652" w14:textId="77777777" w:rsidR="00CB7FC6" w:rsidRDefault="00CB7FC6" w:rsidP="00CB7FC6">
      <w:pPr>
        <w:spacing w:after="0" w:line="360" w:lineRule="auto"/>
        <w:ind w:left="1440"/>
        <w:jc w:val="both"/>
        <w:rPr>
          <w:rFonts w:ascii="Segoe UI" w:hAnsi="Segoe UI" w:cs="Segoe UI"/>
        </w:rPr>
      </w:pPr>
    </w:p>
    <w:p w14:paraId="3EE2EC69" w14:textId="77777777" w:rsidR="00CB7FC6" w:rsidRDefault="00CB7FC6" w:rsidP="00CB7FC6">
      <w:pPr>
        <w:pStyle w:val="PargrafodaLista"/>
        <w:rPr>
          <w:rFonts w:ascii="Segoe UI" w:hAnsi="Segoe UI" w:cs="Segoe UI"/>
        </w:rPr>
      </w:pPr>
    </w:p>
    <w:p w14:paraId="22944F37" w14:textId="77777777" w:rsidR="00CB7FC6" w:rsidRPr="004260A8" w:rsidRDefault="00CB7FC6" w:rsidP="00CB7FC6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</w:rPr>
      </w:pPr>
      <w:r w:rsidRPr="004260A8">
        <w:rPr>
          <w:rFonts w:ascii="Segoe UI" w:hAnsi="Segoe UI" w:cs="Segoe UI"/>
          <w:b/>
        </w:rPr>
        <w:t>______</w:t>
      </w:r>
      <w:r>
        <w:rPr>
          <w:rFonts w:ascii="Segoe UI" w:hAnsi="Segoe UI" w:cs="Segoe UI"/>
          <w:b/>
        </w:rPr>
        <w:t>________________________</w:t>
      </w:r>
      <w:r w:rsidRPr="004260A8">
        <w:rPr>
          <w:rFonts w:ascii="Segoe UI" w:hAnsi="Segoe UI" w:cs="Segoe UI"/>
          <w:b/>
        </w:rPr>
        <w:t>__________________________</w:t>
      </w:r>
    </w:p>
    <w:p w14:paraId="2EAFA701" w14:textId="77777777" w:rsidR="00CB7FC6" w:rsidRPr="004260A8" w:rsidRDefault="00CB7FC6" w:rsidP="00CB7FC6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</w:rPr>
      </w:pPr>
      <w:r w:rsidRPr="004260A8">
        <w:rPr>
          <w:rFonts w:ascii="Segoe UI" w:hAnsi="Segoe UI" w:cs="Segoe UI"/>
          <w:b/>
          <w:lang w:val="pt-PT"/>
        </w:rPr>
        <w:t>Matheus Cayke das Virgens de Jesus</w:t>
      </w:r>
    </w:p>
    <w:p w14:paraId="23A6A9C8" w14:textId="77777777" w:rsidR="00CB7FC6" w:rsidRDefault="00CB7FC6" w:rsidP="00CB7FC6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lang w:val="pt-PT"/>
        </w:rPr>
      </w:pPr>
      <w:r w:rsidRPr="004260A8">
        <w:rPr>
          <w:rFonts w:ascii="Segoe UI" w:hAnsi="Segoe UI" w:cs="Segoe UI"/>
          <w:b/>
          <w:lang w:val="pt-PT"/>
        </w:rPr>
        <w:t>Departamento de Operações Esportivas</w:t>
      </w:r>
    </w:p>
    <w:p w14:paraId="25E7BA16" w14:textId="2BC7A490" w:rsidR="00CB7FC6" w:rsidRPr="004260A8" w:rsidRDefault="00CB7FC6" w:rsidP="00CB7FC6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lang w:val="pt-PT"/>
        </w:rPr>
      </w:pPr>
      <w:r>
        <w:rPr>
          <w:rFonts w:ascii="Segoe UI" w:hAnsi="Segoe UI" w:cs="Segoe UI"/>
          <w:b/>
          <w:lang w:val="pt-PT"/>
        </w:rPr>
        <w:t>Comitê Paralímpico Brasileiro</w:t>
      </w:r>
    </w:p>
    <w:p w14:paraId="260592F1" w14:textId="77777777" w:rsidR="00CB7FC6" w:rsidRPr="00CB7FC6" w:rsidRDefault="00CB7FC6" w:rsidP="00CB7FC6">
      <w:pPr>
        <w:tabs>
          <w:tab w:val="left" w:pos="709"/>
        </w:tabs>
        <w:spacing w:after="0" w:line="360" w:lineRule="auto"/>
        <w:jc w:val="both"/>
        <w:rPr>
          <w:rFonts w:ascii="Segoe UI" w:hAnsi="Segoe UI" w:cs="Segoe UI"/>
        </w:rPr>
      </w:pPr>
    </w:p>
    <w:p w14:paraId="05E164E9" w14:textId="74B819D3" w:rsidR="006E6A59" w:rsidRPr="00EF019C" w:rsidRDefault="006E6A59" w:rsidP="00EF019C"/>
    <w:sectPr w:rsidR="006E6A59" w:rsidRPr="00EF019C" w:rsidSect="00E904A8">
      <w:headerReference w:type="default" r:id="rId12"/>
      <w:footerReference w:type="default" r:id="rId13"/>
      <w:pgSz w:w="11906" w:h="16838"/>
      <w:pgMar w:top="1418" w:right="198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08DE" w14:textId="77777777" w:rsidR="00537D5F" w:rsidRDefault="00537D5F" w:rsidP="00B6442E">
      <w:pPr>
        <w:spacing w:after="0" w:line="240" w:lineRule="auto"/>
      </w:pPr>
      <w:r>
        <w:separator/>
      </w:r>
    </w:p>
  </w:endnote>
  <w:endnote w:type="continuationSeparator" w:id="0">
    <w:p w14:paraId="15A242CA" w14:textId="77777777" w:rsidR="00537D5F" w:rsidRDefault="00537D5F" w:rsidP="00B6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78FDC755" w14:paraId="46B9C030" w14:textId="77777777" w:rsidTr="78FDC755">
      <w:tc>
        <w:tcPr>
          <w:tcW w:w="2925" w:type="dxa"/>
        </w:tcPr>
        <w:p w14:paraId="7616EFA7" w14:textId="23C09827" w:rsidR="78FDC755" w:rsidRDefault="78FDC755" w:rsidP="78FDC755">
          <w:pPr>
            <w:pStyle w:val="Cabealho"/>
            <w:ind w:left="-115"/>
          </w:pPr>
        </w:p>
      </w:tc>
      <w:tc>
        <w:tcPr>
          <w:tcW w:w="2925" w:type="dxa"/>
        </w:tcPr>
        <w:p w14:paraId="4282A0AB" w14:textId="663C4420" w:rsidR="78FDC755" w:rsidRDefault="78FDC755" w:rsidP="78FDC755">
          <w:pPr>
            <w:pStyle w:val="Cabealho"/>
            <w:jc w:val="center"/>
          </w:pPr>
        </w:p>
      </w:tc>
      <w:tc>
        <w:tcPr>
          <w:tcW w:w="2925" w:type="dxa"/>
        </w:tcPr>
        <w:p w14:paraId="56AEF099" w14:textId="728831B1" w:rsidR="78FDC755" w:rsidRDefault="78FDC755" w:rsidP="78FDC755">
          <w:pPr>
            <w:pStyle w:val="Cabealho"/>
            <w:ind w:right="-115"/>
            <w:jc w:val="right"/>
          </w:pPr>
        </w:p>
      </w:tc>
    </w:tr>
  </w:tbl>
  <w:p w14:paraId="354C96AD" w14:textId="1235D56D" w:rsidR="78FDC755" w:rsidRDefault="78FDC755" w:rsidP="78FDC7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181F2" w14:textId="77777777" w:rsidR="00537D5F" w:rsidRDefault="00537D5F" w:rsidP="00B6442E">
      <w:pPr>
        <w:spacing w:after="0" w:line="240" w:lineRule="auto"/>
      </w:pPr>
      <w:r>
        <w:separator/>
      </w:r>
    </w:p>
  </w:footnote>
  <w:footnote w:type="continuationSeparator" w:id="0">
    <w:p w14:paraId="44BDC4DA" w14:textId="77777777" w:rsidR="00537D5F" w:rsidRDefault="00537D5F" w:rsidP="00B64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584D" w14:textId="675259E9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402A0E" wp14:editId="3EA68C6C">
          <wp:simplePos x="0" y="0"/>
          <wp:positionH relativeFrom="margin">
            <wp:posOffset>-734695</wp:posOffset>
          </wp:positionH>
          <wp:positionV relativeFrom="margin">
            <wp:posOffset>-885440</wp:posOffset>
          </wp:positionV>
          <wp:extent cx="7592660" cy="10687789"/>
          <wp:effectExtent l="0" t="0" r="2540" b="0"/>
          <wp:wrapNone/>
          <wp:docPr id="1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65E2F1F6" w14:textId="0B200AFE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86854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00578B9"/>
    <w:multiLevelType w:val="hybridMultilevel"/>
    <w:tmpl w:val="E75078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678EB"/>
    <w:multiLevelType w:val="multilevel"/>
    <w:tmpl w:val="2D3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5214A6"/>
    <w:multiLevelType w:val="hybridMultilevel"/>
    <w:tmpl w:val="BEEC1CDA"/>
    <w:lvl w:ilvl="0" w:tplc="65CCD50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802598"/>
    <w:multiLevelType w:val="hybridMultilevel"/>
    <w:tmpl w:val="B678D1C4"/>
    <w:lvl w:ilvl="0" w:tplc="071065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0720587">
    <w:abstractNumId w:val="4"/>
  </w:num>
  <w:num w:numId="2" w16cid:durableId="296692939">
    <w:abstractNumId w:val="2"/>
  </w:num>
  <w:num w:numId="3" w16cid:durableId="2018536945">
    <w:abstractNumId w:val="0"/>
  </w:num>
  <w:num w:numId="4" w16cid:durableId="2081172593">
    <w:abstractNumId w:val="1"/>
  </w:num>
  <w:num w:numId="5" w16cid:durableId="1901944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E2"/>
    <w:rsid w:val="000A4741"/>
    <w:rsid w:val="00252CF8"/>
    <w:rsid w:val="004F2A70"/>
    <w:rsid w:val="00537D5F"/>
    <w:rsid w:val="00595356"/>
    <w:rsid w:val="006D05F2"/>
    <w:rsid w:val="006E14E2"/>
    <w:rsid w:val="006E6A59"/>
    <w:rsid w:val="00706CC8"/>
    <w:rsid w:val="008042D3"/>
    <w:rsid w:val="0083586C"/>
    <w:rsid w:val="00917D22"/>
    <w:rsid w:val="009C65C4"/>
    <w:rsid w:val="009E143D"/>
    <w:rsid w:val="00A614DA"/>
    <w:rsid w:val="00AA4499"/>
    <w:rsid w:val="00AD465A"/>
    <w:rsid w:val="00B6442E"/>
    <w:rsid w:val="00C952BD"/>
    <w:rsid w:val="00CB7FC6"/>
    <w:rsid w:val="00E53598"/>
    <w:rsid w:val="00E904A8"/>
    <w:rsid w:val="00EF019C"/>
    <w:rsid w:val="78FDC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7176C"/>
  <w15:chartTrackingRefBased/>
  <w15:docId w15:val="{63B94A4F-5EEC-4E90-A562-88F73A99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8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aliases w:val="Lista Paragrafo em Preto,List Paragraph Char Char Char,Texto,List Paragraph,Parágrafo da Lista2,DOCs_Paragrafo-1,List Paragraph_0,Normal com bullets,Tópico1"/>
    <w:basedOn w:val="Normal"/>
    <w:link w:val="PargrafodaListaChar"/>
    <w:uiPriority w:val="34"/>
    <w:qFormat/>
    <w:rsid w:val="006E6A5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8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,List Paragraph_0 Char,Normal com bullets Char,Tópico1 Char"/>
    <w:link w:val="PargrafodaLista"/>
    <w:uiPriority w:val="34"/>
    <w:rsid w:val="00CB7FC6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0" ma:contentTypeDescription="Crie um novo documento." ma:contentTypeScope="" ma:versionID="4075f49011b2a5184b55695111780f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d2d35cd79d80d3b38601b74d693a05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F021-BF9B-4CFF-9690-164736BA1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88EB0C-0827-4BCA-96A0-6A220DE00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507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Julião</dc:creator>
  <cp:keywords/>
  <dc:description/>
  <cp:lastModifiedBy>Matheus Cayke das Virgens de Jesus</cp:lastModifiedBy>
  <cp:revision>4</cp:revision>
  <cp:lastPrinted>2022-05-06T19:56:00Z</cp:lastPrinted>
  <dcterms:created xsi:type="dcterms:W3CDTF">2025-02-26T20:24:00Z</dcterms:created>
  <dcterms:modified xsi:type="dcterms:W3CDTF">2025-02-26T20:26:00Z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